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Área Técnica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de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Automação Industrial,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com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na instalação de máquinas, concepção, análise, desenvolvimento, testes e comissionamento de sistemas de automação industrial.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Habilidade na elaboração de especificações técnicas para aquisição de novos equipamentos, atuando de acordo com melhorias e novos projetos a serem implementados.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na elaboração de projetos elétricos, bem como na especificação técnica e manutenção de sistemas de automação.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desenvolvimento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de programas para CLPS, IHMS e redes industriais e startup em processos e máquinas, assim como na realização 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manutenção preventiva, corretiva e preditiva.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Amplos conhecimentos na elaboração e desenvolvimento de melhorias de ciclo e de processos ligados à área de Automação Industrial.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Prestação de suporte na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montagem, configuração e manutenção em PLC’s (PLC5, SLC500 e CONTROLLOGIX), bem como na montagem, configuração e manutenção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redes Ethernet, DeviceNet e ControlNet.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Tecnologia em Automação Industrial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2010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Vivência Internacional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Estados Unidos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Aprimoramento profissional.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11/2010 a atual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grande porte do segmento automobilístico.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ab/>
        <w:t xml:space="preserve">Técnico de Automação Industrial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05/2008 a 10/2010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do segmento de construção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Técnico de Manutenção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CLP – Xxxxxxx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NR10 – Xxxxxxx </w:t>
      </w: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Controle de Qualidade – Xxxxxx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em Pacote Office e Internet.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8" w:top="1418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360" w:firstLine="0"/>
      </w:pPr>
      <w:rPr>
        <w:rFonts w:ascii="Arial" w:cs="Arial" w:eastAsia="Arial" w:hAnsi="Arial"/>
        <w:color w:val="00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