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Analista de importação e exportação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na área de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Comércio Exterior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, com experiência em operações de comércio internacional para importação e exportação de produtos e serviços, análise de mercado internacional, elaboração de planos e orientação de desembaraço aduaneiro.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na coordenação de transações comerciais com países, empresas e governos estrangeiros, de acordo com as normas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mercantis, alfandegárias e fiscais de cada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Habilidade na elaboração de estratégias de negócios, visando à conquista de novos mercados e atingimento da meta de lucratividade.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pelo acompanhamento dos processos de exportação e importação marítima, cotação de fretes e tarifas e realização de estudos logísticos e bookings junto a armadores e clientes.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Êxito na redução de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45%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dos custos com fretes, através da cotação e negociação direta com fornecedores.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na análise de documentações aduaneiras e contratos de importação e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follow up junto aos fornecedores internacionais, prestadores de serviços, despachantes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aduaneiros, agentes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de carga e transportadoras.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Pós-graduação em Comércio Internacional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– conclusão em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97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</w:t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Comércio Exterior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2007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Fluente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Espanhol – Fluente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Vivência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vertAlign w:val="baseline"/>
          <w:rtl w:val="0"/>
        </w:rPr>
        <w:t xml:space="preserve">Estados Unidos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Realização de intercâmbio.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880"/>
          <w:tab w:val="left" w:pos="306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2006 – 2011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do segmento de exportação de móveis.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Analista de Importação e Exportação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Assistente de Importação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2005 – 2006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do segmento de importação de alimentos e bebidas.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Auxiliar de Importação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rPr/>
      </w:pP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1"/>
            <w:szCs w:val="21"/>
            <w:u w:val="none"/>
            <w:vertAlign w:val="baseline"/>
            <w:rtl w:val="0"/>
          </w:rPr>
          <w:t xml:space="preserve">Finanças Aplicadas a Empresas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Catho Online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rPr/>
      </w:pPr>
      <w:hyperlink r:id="rId8">
        <w:r w:rsidDel="00000000" w:rsidR="00000000" w:rsidRPr="00000000">
          <w:rPr>
            <w:rFonts w:ascii="Arial" w:cs="Arial" w:eastAsia="Arial" w:hAnsi="Arial"/>
            <w:color w:val="000000"/>
            <w:sz w:val="21"/>
            <w:szCs w:val="21"/>
            <w:u w:val="none"/>
            <w:vertAlign w:val="baseline"/>
            <w:rtl w:val="0"/>
          </w:rPr>
          <w:t xml:space="preserve">Gerência Financeira na Prática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Catho Online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rPr/>
      </w:pPr>
      <w:hyperlink r:id="rId9">
        <w:r w:rsidDel="00000000" w:rsidR="00000000" w:rsidRPr="00000000">
          <w:rPr>
            <w:rFonts w:ascii="Arial" w:cs="Arial" w:eastAsia="Arial" w:hAnsi="Arial"/>
            <w:color w:val="000000"/>
            <w:sz w:val="21"/>
            <w:szCs w:val="21"/>
            <w:u w:val="none"/>
            <w:vertAlign w:val="baseline"/>
            <w:rtl w:val="0"/>
          </w:rPr>
          <w:t xml:space="preserve">Administração Estratégica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Catho Online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no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MERCADOR, SISCOMEX,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Pacote Office e Internet.</w:t>
      </w:r>
    </w:p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color w:val="000000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hyperlink" Target="http://www3.catho.com.br/empregabilidade/index.php?viewcurso=30" TargetMode="Externa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yperlink" Target="http://www3.catho.com.br/empregabilidade/index.php?viewcurso=14" TargetMode="External"/><Relationship Id="rId8" Type="http://schemas.openxmlformats.org/officeDocument/2006/relationships/hyperlink" Target="http://www3.catho.com.br/empregabilidade/index.php?viewcurso=3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