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Overlock" w:cs="Overlock" w:eastAsia="Overlock" w:hAnsi="Overlock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column"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Av. Xxxxxx, xx ▪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0000-000 ▪ Cidade ▪ Estado XX</w:t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(xx) xxxxx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▪ (xx)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00"/>
            <w:sz w:val="21"/>
            <w:szCs w:val="21"/>
            <w:u w:val="none"/>
            <w:vertAlign w:val="baseline"/>
            <w:rtl w:val="0"/>
          </w:rPr>
          <w:t xml:space="preserve">xxxx@xxxxx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  <w:sectPr>
          <w:headerReference r:id="rId6" w:type="default"/>
          <w:footerReference r:id="rId7" w:type="default"/>
          <w:pgSz w:h="16840" w:w="11907"/>
          <w:pgMar w:bottom="539" w:top="539" w:left="1134" w:right="1134" w:header="0"/>
          <w:pgNumType w:start="1"/>
          <w:cols w:equalWidth="0" w:num="2">
            <w:col w:space="284" w:w="4677.5"/>
            <w:col w:space="0" w:w="4677.5"/>
          </w:cols>
        </w:sect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 anos ▪ Nacionalidade ▪ xxxxx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63500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63500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spacing w:line="360" w:lineRule="auto"/>
        <w:ind w:right="0"/>
        <w:contextualSpacing w:val="0"/>
        <w:jc w:val="center"/>
        <w:rPr>
          <w:rFonts w:ascii="Arial" w:cs="Arial" w:eastAsia="Arial" w:hAnsi="Arial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4"/>
          <w:szCs w:val="24"/>
          <w:vertAlign w:val="baseline"/>
          <w:rtl w:val="0"/>
        </w:rPr>
        <w:t xml:space="preserve">Médico Clínico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38100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38100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spacing w:line="360" w:lineRule="auto"/>
        <w:ind w:right="0"/>
        <w:contextualSpacing w:val="0"/>
        <w:jc w:val="center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Resumo de Qualificações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Carreira desenvolvida na área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Medicina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com experiência na identificação de doenças e sintomas, orientação sobre o tratamento mais apropriado, realização e solicitação de exames complementares e encaminhamento ao especialista.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Responsável por estabelecer diagnósticos cirúrgicos, após o acompanhamento de pacientes em pós-operatórios, além de prescrever medicamentos e tratamentos específicos nas rotinas ou em emergências.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Vivência na prescrição de tratamentos clínico, ambulatorial e hospitalar, avaliando e acompanhando o desenvolvimento do quadro clínico de cada paciente.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Atuação em diversos setores hospitalares, tais como: pronto socorro, clínica médica, pediatria, centro cirúrgico e UTI.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Participação ativa na avaliação da qualidade da assistência prestada aos pacientes pelas instituições, propondo quando necessário, melhorias do programa de assistência global.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Disponibilidade para viagens.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Residência Médica em Xxxxxxxx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– concluída em 12/2009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 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Graduação em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Medicina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- 12/2006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Instituição Xxxxxxxxxxxxxx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Idioma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Inglês –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EUA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– Participação de congresso sobre xxxxxxxxxxxx na área Medicina.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2009 a 2011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xxxxxxxxxxxxxxxxxxxxxxx.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Instituição do segmento hospitalar.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Médico Clínico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a 2009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xxxxxxxxxxxxxxxxxxxxxxx.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Instituição do segmento hospitalar.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Médico 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Conhecimento no Pacote Office e Internet.</w:t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Trebuchet MS" w:cs="Trebuchet MS" w:eastAsia="Trebuchet MS" w:hAnsi="Trebuchet MS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539" w:top="539" w:left="1134" w:right="1134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  <w:font w:name="Trebuchet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mon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6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68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708"/>
      <w:jc w:val="left"/>
    </w:pPr>
    <w:rPr>
      <w:rFonts w:ascii="Lemon" w:cs="Lemon" w:eastAsia="Lemon" w:hAnsi="Lemo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5" Type="http://schemas.openxmlformats.org/officeDocument/2006/relationships/hyperlink" Target="mailto:lima.ilson@ig.com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Lemon-regular.ttf"/></Relationships>
</file>